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ПРОТОКОЛ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251158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-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3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очного </w:t>
      </w:r>
      <w:r>
        <w:rPr>
          <w:sz w:val="22"/>
          <w:szCs w:val="22"/>
        </w:rPr>
        <w:t xml:space="preserve">заседания </w:t>
      </w:r>
      <w:r>
        <w:rPr>
          <w:sz w:val="22"/>
          <w:szCs w:val="22"/>
        </w:rPr>
        <w:t xml:space="preserve">Закупочн</w:t>
      </w:r>
      <w:r>
        <w:rPr>
          <w:sz w:val="22"/>
          <w:szCs w:val="22"/>
        </w:rPr>
        <w:t xml:space="preserve">ой</w:t>
      </w:r>
      <w:r>
        <w:rPr>
          <w:sz w:val="22"/>
          <w:szCs w:val="22"/>
        </w:rPr>
        <w:t xml:space="preserve"> комиссии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о рассмотрению, </w:t>
      </w:r>
      <w:r>
        <w:rPr>
          <w:sz w:val="22"/>
          <w:szCs w:val="22"/>
        </w:rPr>
        <w:t xml:space="preserve">оценке поступивших заявок участников </w:t>
      </w:r>
      <w:r>
        <w:rPr>
          <w:sz w:val="22"/>
          <w:szCs w:val="22"/>
        </w:rPr>
        <w:t xml:space="preserve">и подведению итогов </w:t>
      </w:r>
      <w:r>
        <w:rPr>
          <w:sz w:val="22"/>
          <w:szCs w:val="22"/>
        </w:rPr>
        <w:t xml:space="preserve">по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конкурентному </w:t>
      </w:r>
      <w:r>
        <w:rPr>
          <w:sz w:val="22"/>
          <w:szCs w:val="22"/>
        </w:rPr>
        <w:t xml:space="preserve">предварительному отбору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электронной форме </w:t>
      </w:r>
      <w:r>
        <w:rPr>
          <w:sz w:val="22"/>
          <w:szCs w:val="22"/>
        </w:rPr>
        <w:t xml:space="preserve">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68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3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sz w:val="22"/>
          <w:szCs w:val="22"/>
        </w:rPr>
      </w:r>
      <w:r>
        <w:rPr>
          <w:rFonts w:ascii="Times New Roman" w:hAnsi="Times New Roman" w:cs="Times New Roman"/>
          <w:b w:val="0"/>
          <w:sz w:val="22"/>
          <w:szCs w:val="22"/>
        </w:rPr>
      </w:r>
      <w:r>
        <w:rPr>
          <w:rFonts w:ascii="Times New Roman" w:hAnsi="Times New Roman" w:cs="Times New Roman"/>
          <w:b w:val="0"/>
          <w:sz w:val="22"/>
          <w:szCs w:val="22"/>
        </w:rPr>
      </w:r>
    </w:p>
    <w:tbl>
      <w:tblPr>
        <w:tblW w:w="1031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51"/>
        <w:gridCol w:w="2976"/>
        <w:gridCol w:w="5387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59"/>
              <w:ind w:right="1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г. Санкт-Петербург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Style w:val="959"/>
              <w:ind w:left="88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составления протокола: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15.04.2025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59"/>
              <w:ind w:left="88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подписания протокола: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15.04.2025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59"/>
              <w:ind w:right="1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959"/>
              <w:ind w:right="1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633"/>
        </w:trPr>
        <w:tc>
          <w:tcPr>
            <w:tcBorders>
              <w:bottom w:val="single" w:color="000000" w:sz="4" w:space="0"/>
            </w:tcBorders>
            <w:tcW w:w="1951" w:type="dxa"/>
            <w:vAlign w:val="center"/>
            <w:textDirection w:val="lrTb"/>
            <w:noWrap w:val="false"/>
          </w:tcPr>
          <w:p>
            <w:pPr>
              <w:pStyle w:val="961"/>
              <w:ind w:right="3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Предмет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конкурентно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го предварительного отбора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63" w:type="dxa"/>
            <w:vAlign w:val="center"/>
            <w:textDirection w:val="lrTb"/>
            <w:noWrap w:val="false"/>
          </w:tcPr>
          <w:p>
            <w:pPr>
              <w:pStyle w:val="959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право заключения  рамочного соглашения  на выполнение проектно-изыскательских работ,  строительно-монтажных работ (с поставкой оборудования)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исполнения обязат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ельств по сносу и восстановлению электросетевых объектов, попадающих в зону производства работ третьих лиц,  а так же выполнение мероприятий на электросетевых объектах в целях реализации дополнительных услуг по филиалу ПАО «Россети Ленэнерго»  «Южные элект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рические сети»  - общим объемом работ не более  4 966 291 640,00 руб. с НДС. с максимальной стоимостью договора по каждой закупочной процедуре «ЗЦ ПО» не более 15 млн. руб. с НДС (за исключением ЗЦ ПО на право заключения рамочных договоров).  (Дополнительн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ый отбор подрядных организаций)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251158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ind w:right="168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959"/>
        <w:ind w:right="168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959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Повестка дня: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numPr>
          <w:ilvl w:val="0"/>
          <w:numId w:val="4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Повестка дня: </w:t>
      </w:r>
      <w:r>
        <w:rPr>
          <w:sz w:val="22"/>
          <w:szCs w:val="22"/>
        </w:rPr>
        <w:t xml:space="preserve">Рассмотрение, оценка поступивших заявок участников и подведение итогов по </w:t>
      </w:r>
      <w:r>
        <w:rPr>
          <w:sz w:val="22"/>
          <w:szCs w:val="22"/>
        </w:rPr>
        <w:t xml:space="preserve">конкурентному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редварительному отбору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68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на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право заключения  рамочного соглашения  на выполнение проектно-изыскательских работ,  строительно-монтажных работ (с поставкой оборудования) и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исполнения обязат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ельств по сносу и восстановлению электросетевых объектов, попадающих в зону производства работ третьих лиц,  а так же выполнение мероприятий на электросетевых объектах в целях реализации дополнительных услуг по филиалу ПАО «Россети Ленэнерго»  «Южные элект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рические сети»  - общим объемом работ не более  4 966 291 640,00 руб. с НДС. с максимальной стоимостью договора по каждой закупочной процедуре «ЗЦ ПО» не более 15 млн. руб. с НДС (за исключением ЗЦ ПО на право заключения рамочных договоров).  (Дополнительн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ый отбор подрядных организаций)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251158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ind w:left="284" w:firstLine="0"/>
        <w:jc w:val="both"/>
        <w:keepNext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993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ind w:left="993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ind w:right="168"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Дата заседания комиссии: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15.04.2025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9"/>
        <w:ind w:right="168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Кворум имеется. Комиссия правомочна.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900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ind w:left="900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numPr>
          <w:ilvl w:val="0"/>
          <w:numId w:val="2"/>
        </w:numPr>
        <w:ind w:left="0" w:right="168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Общая информация о закупке: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numPr>
          <w:ilvl w:val="0"/>
          <w:numId w:val="3"/>
        </w:numPr>
        <w:ind w:left="0" w:right="1"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Основание проведения закупочной процедуры: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с приказом     ПАО «Россети Ленэнерго» от 26.12.2024 № 835 «Об утверждении Плана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 товаров, 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бот, услуг ПАО «Россети Ленэнерго» на 2025 год», Единым Стандартом закупок ПАО «Россети» (Положение о закупке), решение          о присоединении, к которому принято Советом директоров ПАО «Россети Ленэнерго» 01.02.2023 (протокол от 02.02.2023 №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44)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.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959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Извещение 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25.02.2025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 проведении конкурентного предварительного отбора в электронной форме, документация о закупке опубликованы 26.02.2025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официальном сайте (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HYPERLINK "http://www.zakupki.gov.ru"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</w:rPr>
        <w:t xml:space="preserve">www.zakupki.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gov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</w:rPr>
        <w:t xml:space="preserve">.ru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</w:t>
      </w:r>
      <w:r>
        <w:rPr>
          <w:rFonts w:ascii="Times New Roman" w:hAnsi="Times New Roman" w:eastAsia="Times New Roman" w:cs="Times New Roman"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сайте ЭТП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Согласно процедуре электронных торгов на электронной торговой площадке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26.02.2025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объявление 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LENER25091DP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(номер извещения на сайте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HYPERLINK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"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http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://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www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zakupki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gov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ru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/223" 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fldChar w:fldCharType="separate"/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www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</w:rPr>
        <w:t xml:space="preserve">.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zakupki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</w:rPr>
        <w:t xml:space="preserve">.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gov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</w:rPr>
        <w:t xml:space="preserve">.</w:t>
      </w:r>
      <w:r>
        <w:rPr>
          <w:rStyle w:val="968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32514557153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в качестве участников данного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конкурентного предварительного отбора зарегистрировались следующие участники: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ind w:left="709"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117" w:type="dxa"/>
        <w:jc w:val="center"/>
        <w:tblInd w:w="0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804"/>
        <w:gridCol w:w="2935"/>
        <w:gridCol w:w="6378"/>
      </w:tblGrid>
      <w:tr>
        <w:tblPrEx/>
        <w:trPr>
          <w:cantSplit/>
          <w:trHeight w:val="4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59"/>
              <w:ind w:right="142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pStyle w:val="959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Дата и время регистрации заявки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959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Участник конкурентного предварительного отбора в электронной форме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6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59"/>
              <w:ind w:right="22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06.03.2025 17:19:29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«Онтек»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6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59"/>
              <w:ind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17.03.2025 17:35:41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УК «Северный Город»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59"/>
              <w:ind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19.03.2025 10:02:46 MCK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«Смарт-Энерго» (лидер), ООО «СТРОИТЕЛЬНАЯ КОМПАНИЯ «НОВЫЙ ДОМ» (участник)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59"/>
        <w:ind w:right="168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959"/>
        <w:numPr>
          <w:ilvl w:val="0"/>
          <w:numId w:val="3"/>
        </w:numPr>
        <w:ind w:left="0" w:right="168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Начальная (максимальная) цена договора (рамочного соглашения) (цена закупки) - Ценовой лимит рамочного соглашения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руб. с НДС/без НДС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Срок действия рамочного соглашения (срок выполнения работ):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709" w:right="168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4828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755"/>
        <w:gridCol w:w="33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3"/>
        </w:trPr>
        <w:tc>
          <w:tcPr>
            <w:tcW w:w="335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 w:type="page" w:clear="all"/>
              <w:t xml:space="preserve">Начальная (максимальная) цена договора (рамочного соглашения) (цена закупки) - Ценовой лимит рамочного соглашения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  <w:br w:type="textWrapping" w:clear="all"/>
              <w:t xml:space="preserve">руб. с НДС/без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64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Срок действия рамочного соглашения (срок выполнения работ)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76"/>
        </w:trPr>
        <w:tc>
          <w:tcPr>
            <w:tcW w:w="335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общим объемом выполнения работ не более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5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4 966 291 640,00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руб. с НДС.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644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29.04.2025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right="168"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168"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ind w:right="168"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numPr>
          <w:ilvl w:val="0"/>
          <w:numId w:val="2"/>
        </w:numPr>
        <w:ind w:left="0" w:right="168"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Закупоч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комиссия рассмотрела и определила: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85"/>
        <w:ind w:firstLine="540"/>
        <w:jc w:val="both"/>
        <w:spacing w:before="0" w:after="0"/>
        <w:widowControl w:val="off"/>
        <w:tabs>
          <w:tab w:val="left" w:pos="567" w:leader="none"/>
        </w:tabs>
        <w:rPr>
          <w:rFonts w:ascii="Times New Roman" w:hAnsi="Times New Roman" w:cs="Times New Roman"/>
          <w:bCs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bCs/>
          <w:sz w:val="22"/>
          <w:szCs w:val="22"/>
          <w:highlight w:val="yellow"/>
        </w:rPr>
      </w:r>
      <w:r>
        <w:rPr>
          <w:rFonts w:ascii="Times New Roman" w:hAnsi="Times New Roman" w:cs="Times New Roman"/>
          <w:bCs/>
          <w:sz w:val="22"/>
          <w:szCs w:val="22"/>
          <w:highlight w:val="yellow"/>
        </w:rPr>
      </w:r>
      <w:r>
        <w:rPr>
          <w:rFonts w:ascii="Times New Roman" w:hAnsi="Times New Roman" w:cs="Times New Roman"/>
          <w:bCs/>
          <w:sz w:val="22"/>
          <w:szCs w:val="22"/>
          <w:highlight w:val="yellow"/>
        </w:rPr>
      </w:r>
    </w:p>
    <w:p>
      <w:pPr>
        <w:pStyle w:val="959"/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Сведения общего характера Участников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конкурентного </w:t>
      </w:r>
      <w:r>
        <w:rPr>
          <w:sz w:val="22"/>
          <w:szCs w:val="22"/>
        </w:rPr>
        <w:t xml:space="preserve">предварительного отбора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электронной форме </w:t>
      </w:r>
      <w:r>
        <w:rPr>
          <w:sz w:val="22"/>
          <w:szCs w:val="22"/>
        </w:rPr>
        <w:t xml:space="preserve">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68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анализу </w:t>
      </w:r>
      <w:r>
        <w:rPr>
          <w:sz w:val="22"/>
          <w:szCs w:val="22"/>
        </w:rPr>
        <w:t xml:space="preserve">поступивших </w:t>
      </w:r>
      <w:r>
        <w:rPr>
          <w:sz w:val="22"/>
          <w:szCs w:val="22"/>
        </w:rPr>
        <w:t xml:space="preserve">заявок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ind w:left="567"/>
        <w:jc w:val="both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numPr>
          <w:ilvl w:val="0"/>
          <w:numId w:val="43"/>
        </w:numPr>
        <w:ind w:left="0" w:firstLine="567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минимальной правоспособности, квалификации и финансовой устойчивости Участника</w:t>
      </w:r>
      <w:r>
        <w:rPr>
          <w:sz w:val="22"/>
          <w:szCs w:val="22"/>
        </w:rPr>
        <w:t xml:space="preserve">, пол</w:t>
      </w:r>
      <w:r>
        <w:rPr>
          <w:sz w:val="22"/>
          <w:szCs w:val="22"/>
        </w:rPr>
        <w:t xml:space="preserve">ноты и качества оформления заявок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6804"/>
        <w:gridCol w:w="2268"/>
      </w:tblGrid>
      <w:tr>
        <w:tblPrEx/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pStyle w:val="96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конкурентного </w:t>
            </w:r>
            <w:r>
              <w:rPr>
                <w:bCs/>
                <w:sz w:val="22"/>
                <w:szCs w:val="22"/>
              </w:rPr>
              <w:t xml:space="preserve">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39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«Онтек»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15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УК «Северный Город»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41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«Смарт-Энерго» (лидер), ООО «СТРОИТЕЛЬНАЯ КОМПАНИЯ «НОВЫЙ ДОМ» (участник)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numPr>
          <w:ilvl w:val="0"/>
          <w:numId w:val="43"/>
        </w:numPr>
        <w:ind w:left="0" w:firstLine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соответствии технической части заяв</w:t>
      </w:r>
      <w:r>
        <w:rPr>
          <w:sz w:val="22"/>
          <w:szCs w:val="22"/>
        </w:rPr>
        <w:t xml:space="preserve">ок</w:t>
      </w:r>
      <w:r>
        <w:rPr>
          <w:sz w:val="22"/>
          <w:szCs w:val="22"/>
        </w:rPr>
        <w:t xml:space="preserve"> требованиям документации о закупке на основании выводов экспертов по</w:t>
      </w:r>
      <w:r>
        <w:rPr>
          <w:sz w:val="22"/>
          <w:szCs w:val="22"/>
        </w:rPr>
        <w:t xml:space="preserve"> анализу технической части заявок</w:t>
      </w:r>
      <w:r>
        <w:rPr>
          <w:sz w:val="22"/>
          <w:szCs w:val="22"/>
        </w:rPr>
        <w:t xml:space="preserve"> Участник</w:t>
      </w:r>
      <w:r>
        <w:rPr>
          <w:sz w:val="22"/>
          <w:szCs w:val="22"/>
        </w:rPr>
        <w:t xml:space="preserve">ов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6804"/>
        <w:gridCol w:w="2268"/>
      </w:tblGrid>
      <w:tr>
        <w:tblPrEx/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pStyle w:val="96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конкурентного </w:t>
            </w:r>
            <w:r>
              <w:rPr>
                <w:bCs/>
                <w:sz w:val="22"/>
                <w:szCs w:val="22"/>
              </w:rPr>
              <w:t xml:space="preserve">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4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«Онтек»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9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УК «Северный Город»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15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«Смарт-Энерго» (лидер), ООО «СТРОИТЕЛЬНАЯ КОМПАНИЯ «НОВЫЙ ДОМ» (участник)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ind w:left="567" w:firstLine="0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3. По результатам оценки заявок Закупочная комиссия </w:t>
      </w:r>
      <w:r>
        <w:rPr>
          <w:sz w:val="22"/>
          <w:szCs w:val="22"/>
        </w:rPr>
        <w:t xml:space="preserve">рассмотрела и определила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tbl>
      <w:tblPr>
        <w:tblW w:w="102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59"/>
        <w:gridCol w:w="3368"/>
        <w:gridCol w:w="2268"/>
        <w:gridCol w:w="1842"/>
        <w:gridCol w:w="1843"/>
      </w:tblGrid>
      <w:tr>
        <w:tblPrEx/>
        <w:trPr>
          <w:cantSplit/>
          <w:trHeight w:val="1757"/>
          <w:tblHeader/>
        </w:trPr>
        <w:tc>
          <w:tcPr>
            <w:tcW w:w="959" w:type="dxa"/>
            <w:vAlign w:val="center"/>
            <w:textDirection w:val="lrTb"/>
            <w:noWrap w:val="false"/>
          </w:tcPr>
          <w:p>
            <w:pPr>
              <w:pStyle w:val="97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конкурентного </w:t>
            </w:r>
            <w:r>
              <w:rPr>
                <w:sz w:val="22"/>
                <w:szCs w:val="22"/>
              </w:rPr>
              <w:t xml:space="preserve">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 правоспособности, квалификации и финансовой устойчивости Участника, полноты и качества оформления заявки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технической части заявок Участников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9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975"/>
        </w:trPr>
        <w:tc>
          <w:tcPr>
            <w:tcW w:w="959" w:type="dxa"/>
            <w:vAlign w:val="center"/>
            <w:textDirection w:val="lrTb"/>
            <w:noWrap w:val="false"/>
          </w:tcPr>
          <w:p>
            <w:pPr>
              <w:pStyle w:val="97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«Онтек»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550"/>
        </w:trPr>
        <w:tc>
          <w:tcPr>
            <w:tcW w:w="959" w:type="dxa"/>
            <w:vAlign w:val="center"/>
            <w:textDirection w:val="lrTb"/>
            <w:noWrap w:val="false"/>
          </w:tcPr>
          <w:p>
            <w:pPr>
              <w:pStyle w:val="97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УК «Северный Город»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699"/>
        </w:trPr>
        <w:tc>
          <w:tcPr>
            <w:tcW w:w="959" w:type="dxa"/>
            <w:vAlign w:val="center"/>
            <w:textDirection w:val="lrTb"/>
            <w:noWrap w:val="false"/>
          </w:tcPr>
          <w:p>
            <w:pPr>
              <w:pStyle w:val="97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«Смарт-Энерго» (лидер), ООО «СТРОИТЕЛЬНАЯ КОМПАНИЯ «НОВЫЙ ДОМ» (участник)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92"/>
        <w:ind w:left="0" w:firstLine="0"/>
        <w:jc w:val="both"/>
        <w:widowControl w:val="off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92"/>
        <w:ind w:left="0" w:firstLine="0"/>
        <w:jc w:val="both"/>
        <w:widowControl w:val="off"/>
        <w:tabs>
          <w:tab w:val="left" w:pos="1134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92"/>
        <w:ind w:left="0" w:firstLine="0"/>
        <w:jc w:val="both"/>
        <w:widowControl w:val="off"/>
        <w:tabs>
          <w:tab w:val="left" w:pos="1134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4.Закупочн</w:t>
      </w:r>
      <w:r>
        <w:rPr>
          <w:sz w:val="22"/>
          <w:szCs w:val="22"/>
        </w:rPr>
        <w:t xml:space="preserve">ая</w:t>
      </w:r>
      <w:r>
        <w:rPr>
          <w:sz w:val="22"/>
          <w:szCs w:val="22"/>
        </w:rPr>
        <w:t xml:space="preserve"> комиссия решила принять результаты проведенной </w:t>
      </w:r>
      <w:r>
        <w:rPr>
          <w:sz w:val="22"/>
          <w:szCs w:val="22"/>
        </w:rPr>
        <w:t xml:space="preserve">экспертами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экспертизы поступивших </w:t>
      </w:r>
      <w:r>
        <w:rPr>
          <w:sz w:val="22"/>
          <w:szCs w:val="22"/>
        </w:rPr>
        <w:t xml:space="preserve">заявок</w:t>
      </w:r>
      <w:r>
        <w:rPr>
          <w:sz w:val="22"/>
          <w:szCs w:val="22"/>
        </w:rPr>
        <w:t xml:space="preserve"> в рамках критериев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определенных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документации о закупке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</w:t>
      </w:r>
      <w:r>
        <w:rPr>
          <w:sz w:val="22"/>
          <w:szCs w:val="22"/>
        </w:rPr>
        <w:t xml:space="preserve">конкурентному </w:t>
      </w:r>
      <w:r>
        <w:rPr>
          <w:sz w:val="22"/>
          <w:szCs w:val="22"/>
        </w:rPr>
        <w:t xml:space="preserve">предварительному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отбору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электронной форме </w:t>
      </w:r>
      <w:r>
        <w:rPr>
          <w:sz w:val="22"/>
          <w:szCs w:val="22"/>
        </w:rPr>
        <w:t xml:space="preserve">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68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право заключения  рамочного соглашения  на выполнение проектно-изыскательских работ,  строительно-монтажных работ (с поставкой оборудования) и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исполнения обязат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ельств по сносу и восстановлению электросетевых объектов, попадающих в зону производства работ третьих лиц,  а так же выполнение мероприятий на электросетевых объектах в целях реализации дополнительных услуг по филиалу ПАО «Россети Ленэнерго»  «Южные элект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рические сети»  - общим объемом работ не более  4 966 291 640,00 руб. с НДС. с максимальной стоимостью договора по каждой закупочной процедуре «ЗЦ ПО» не более 15 млн. руб. с НДС (за исключением ЗЦ ПО на право заключения рамочных договоров).  (Дополнительн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ый отбор подрядных организаций)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251158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959"/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pStyle w:val="959"/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Style w:val="815"/>
        <w:tblW w:w="0" w:type="auto"/>
        <w:tblInd w:w="-19" w:type="dxa"/>
        <w:tblLayout w:type="fixed"/>
        <w:tblLook w:val="04A0" w:firstRow="1" w:lastRow="0" w:firstColumn="1" w:lastColumn="0" w:noHBand="0" w:noVBand="1"/>
      </w:tblPr>
      <w:tblGrid>
        <w:gridCol w:w="345"/>
        <w:gridCol w:w="1149"/>
        <w:gridCol w:w="2318"/>
        <w:gridCol w:w="1062"/>
        <w:gridCol w:w="533"/>
        <w:gridCol w:w="1070"/>
        <w:gridCol w:w="582"/>
        <w:gridCol w:w="1042"/>
        <w:gridCol w:w="375"/>
        <w:gridCol w:w="1014"/>
        <w:gridCol w:w="404"/>
      </w:tblGrid>
      <w:tr>
        <w:tblPrEx/>
        <w:trPr>
          <w:trHeight w:val="3172"/>
        </w:trPr>
        <w:tc>
          <w:tcPr>
            <w:tcW w:w="345" w:type="dxa"/>
            <w:vAlign w:val="center"/>
            <w:textDirection w:val="lrTb"/>
            <w:noWrap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34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Наименование критериев оценки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62" w:type="dxa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Весовой коэффициент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ООО «Онтек»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ООО УК «Северный Город»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btLr"/>
            <w:noWrap w:val="false"/>
          </w:tcPr>
          <w:p>
            <w:pPr>
              <w:ind w:left="113" w:right="11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 ООО «Смарт-Энерго» (лидер), ООО «СТРОИТЕЛЬНАЯ КОМПАНИЯ «НОВЫЙ ДОМ» (участник)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75"/>
        </w:trPr>
        <w:tc>
          <w:tcPr>
            <w:tcW w:w="34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3467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Опыт выполнения аналогичных работ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50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89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134"/>
        </w:trPr>
        <w:tc>
          <w:tcPr>
            <w:tcW w:w="345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49" w:type="dxa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Наличие материально-технических ресурсов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Трактор с погрузочным оборудованием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Седельный тягач с КМУ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Кран манипулятор грузовой бортовой, автогидроподъемник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Грузовой седельный тягач, трал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Бурильно-крановая машина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Бортовая машина с манипулятором, автогидроподъемник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Компрессор на шасси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Автомобиль для перевозки материалов и оборудования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134"/>
        </w:trPr>
        <w:tc>
          <w:tcPr>
            <w:tcW w:w="345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49" w:type="dxa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Наличие квалифицированных кадровых ресурсов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Электромонтер-линейщик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0,1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50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Электромонтажник по силовым сетям и электрооборудованию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Инженер по наладке и испытаниям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50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Главный инженер/заместитель главного инженера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Главный инженер проекта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50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Инженер - проектировщик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75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231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Инженер - сметчик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gridSpan w:val="3"/>
            <w:tcW w:w="381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Итоговая предпочтительность Предложения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70,00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93,40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37,00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gridSpan w:val="3"/>
            <w:tcW w:w="381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Рейтинг участников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7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4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1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0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59"/>
        <w:ind w:left="0" w:right="168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III. Закупочная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комиссия по результатам голосования решила: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9"/>
        <w:numPr>
          <w:ilvl w:val="0"/>
          <w:numId w:val="46"/>
        </w:numPr>
        <w:ind w:left="0" w:right="168" w:firstLine="0"/>
        <w:jc w:val="both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Принимая во внимание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проведенной экспертами экспертизы поступивших заявок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участников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конкурентному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электронной форме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право заключения  рамочного соглашения  на выполнение проектно-изыскательских работ,  строительно-монтажных работ (с поставкой оборудования) и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исполнения обязат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ельств по сносу и восстановлению электросетевых объектов, попадающих в зону производства работ третьих лиц,  а так же выполнение мероприятий на электросетевых объектах в целях реализации дополнительных услуг по филиалу ПАО «Россети Ленэнерго»  «Южные элект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рические сети»  - общим объемом работ не более  4 966 291 640,00 руб. с НДС. с максимальной стоимостью договора по каждой закупочной процедуре «ЗЦ ПО» не более 15 млн. руб. с НДС (за исключением ЗЦ ПО на право заключения рамочных договоров).  (Дополнительн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ый отбор подрядных организаций)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251158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признать соответствующими требованиям документации о закупке и принять к дальнейшему рассмотрению заявки следующих участников: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168" w:firstLine="0"/>
        <w:jc w:val="both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tbl>
      <w:tblPr>
        <w:tblW w:w="9888" w:type="dxa"/>
        <w:tblInd w:w="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8470"/>
      </w:tblGrid>
      <w:tr>
        <w:tblPrEx/>
        <w:trPr>
          <w:cantSplit/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4"/>
              <w:ind w:left="0" w:right="168" w:firstLine="0"/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0" w:type="dxa"/>
            <w:vAlign w:val="center"/>
            <w:textDirection w:val="lrTb"/>
            <w:noWrap w:val="false"/>
          </w:tcPr>
          <w:p>
            <w:pPr>
              <w:pStyle w:val="964"/>
              <w:ind w:left="0" w:right="168"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конкурентного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предварительного отбора в электронной форме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4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2"/>
              <w:ind w:left="0" w:right="168" w:firstLine="0"/>
              <w:jc w:val="center"/>
              <w:spacing w:line="240" w:lineRule="auto"/>
              <w:tabs>
                <w:tab w:val="clear" w:pos="4536" w:leader="none"/>
                <w:tab w:val="left" w:pos="9639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0" w:type="dxa"/>
            <w:vAlign w:val="center"/>
            <w:textDirection w:val="lrTb"/>
            <w:noWrap w:val="false"/>
          </w:tcPr>
          <w:p>
            <w:pPr>
              <w:ind w:left="0" w:right="168"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«Онтек»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2"/>
              <w:ind w:left="0" w:right="168" w:firstLine="0"/>
              <w:jc w:val="center"/>
              <w:spacing w:line="240" w:lineRule="auto"/>
              <w:tabs>
                <w:tab w:val="clear" w:pos="4536" w:leader="none"/>
                <w:tab w:val="left" w:pos="9639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0" w:type="dxa"/>
            <w:vAlign w:val="center"/>
            <w:textDirection w:val="lrTb"/>
            <w:noWrap w:val="false"/>
          </w:tcPr>
          <w:p>
            <w:pPr>
              <w:ind w:left="0" w:right="168"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УК «Северный Город»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2"/>
              <w:ind w:left="0" w:right="168" w:firstLine="0"/>
              <w:jc w:val="center"/>
              <w:spacing w:line="240" w:lineRule="auto"/>
              <w:tabs>
                <w:tab w:val="clear" w:pos="4536" w:leader="none"/>
                <w:tab w:val="left" w:pos="9639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0" w:type="dxa"/>
            <w:vAlign w:val="center"/>
            <w:textDirection w:val="lrTb"/>
            <w:noWrap w:val="false"/>
          </w:tcPr>
          <w:p>
            <w:pPr>
              <w:ind w:left="0" w:right="168" w:firstLine="0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ООО «Смарт-Энерго» (лидер),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left="0" w:right="168" w:firstLine="0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ООО «СТРОИТЕЛЬНАЯ КОМПАНИЯ «НОВЫЙ ДОМ» (участник)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left="0" w:right="168" w:firstLine="0"/>
        <w:jc w:val="both"/>
        <w:spacing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59"/>
        <w:numPr>
          <w:ilvl w:val="0"/>
          <w:numId w:val="46"/>
        </w:numPr>
        <w:ind w:left="0" w:right="168" w:firstLine="0"/>
        <w:jc w:val="both"/>
        <w:spacing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п.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.4.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п. 5.4 раздела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части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«ОБЩИЕ УСЛОВИЯ ПРОВЕДЕНИЯ ЗАКУПКИ»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признать победителями и заключить рамочные соглашения со следующими участниками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конкурентного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предварительного отбора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электронной форме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электронной торговой площадке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Style w:val="968"/>
          <w:rFonts w:ascii="Times New Roman" w:hAnsi="Times New Roman" w:eastAsia="Times New Roman" w:cs="Times New Roman"/>
          <w:sz w:val="24"/>
          <w:szCs w:val="24"/>
        </w:rPr>
        <w:t xml:space="preserve">https://tender.lot-online.ru/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право заключения  рамочного соглашения  на выполнение проектно-изыскательских работ,  строительно-монтажных работ (с поставкой оборудования) и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исполнения обязат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ельств по сносу и восстановлению электросетевых объектов, попадающих в зону производства работ третьих лиц,  а так же выполнение мероприятий на электросетевых объектах в целях реализации дополнительных услуг по филиалу ПАО «Россети Ленэнерго»  «Южные элект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рические сети»  - общим объемом работ не более  4 966 291 640,00 руб. с НДС. с максимальной стоимостью договора по каждой закупочной процедуре «ЗЦ ПО» не более 15 млн. руб. с НДС (за исключением ЗЦ ПО на право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заключения рамочных договоров).  (Дополнительн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ый отбор подрядных организаций)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251158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ind w:left="0" w:right="168" w:firstLine="0"/>
        <w:jc w:val="both"/>
        <w:spacing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</w:p>
    <w:tbl>
      <w:tblPr>
        <w:tblW w:w="10030" w:type="dxa"/>
        <w:tblInd w:w="-2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8612"/>
      </w:tblGrid>
      <w:tr>
        <w:tblPrEx/>
        <w:trPr>
          <w:cantSplit/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4"/>
              <w:ind w:left="0" w:right="16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12" w:type="dxa"/>
            <w:vAlign w:val="center"/>
            <w:textDirection w:val="lrTb"/>
            <w:noWrap w:val="false"/>
          </w:tcPr>
          <w:p>
            <w:pPr>
              <w:pStyle w:val="964"/>
              <w:ind w:left="0" w:right="16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конкурентного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предварительного отбора в электронной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2"/>
              <w:ind w:left="0" w:right="168" w:firstLine="0"/>
              <w:jc w:val="center"/>
              <w:tabs>
                <w:tab w:val="clear" w:pos="4536" w:leader="none"/>
                <w:tab w:val="left" w:pos="963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12" w:type="dxa"/>
            <w:vAlign w:val="center"/>
            <w:textDirection w:val="lrTb"/>
            <w:noWrap w:val="false"/>
          </w:tcPr>
          <w:p>
            <w:pPr>
              <w:ind w:left="0" w:right="16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«Онтек»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72"/>
              <w:ind w:left="0" w:right="168" w:firstLine="0"/>
              <w:jc w:val="center"/>
              <w:tabs>
                <w:tab w:val="clear" w:pos="4536" w:leader="none"/>
                <w:tab w:val="left" w:pos="963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12" w:type="dxa"/>
            <w:vAlign w:val="center"/>
            <w:textDirection w:val="lrTb"/>
            <w:noWrap w:val="false"/>
          </w:tcPr>
          <w:p>
            <w:pPr>
              <w:ind w:left="0" w:right="16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УК «Северный Город»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0" w:right="168" w:firstLine="0"/>
        <w:jc w:val="both"/>
        <w:widowControl w:val="off"/>
        <w:tabs>
          <w:tab w:val="left" w:pos="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59"/>
        <w:numPr>
          <w:ilvl w:val="0"/>
          <w:numId w:val="46"/>
        </w:numPr>
        <w:ind w:left="0" w:right="168" w:firstLine="0"/>
        <w:jc w:val="both"/>
        <w:widowControl w:val="off"/>
        <w:tabs>
          <w:tab w:val="left" w:pos="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выполнения работ (срок действия рамочного соглашения)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даты заключения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рамочного соглашения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30.12.2026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59"/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Результаты голосования: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«За» - ____ членов комиссии;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«Против» - ____ членов комиссии;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59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«Воздержался» - ____ членов комиссии; «Отсутствовало» - ____ членов комиссии.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Подписи членов Закупочной комиссии: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444" w:type="dxa"/>
        <w:jc w:val="center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8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9"/>
              <w:ind w:left="404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За/Против/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Возд./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30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9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комиссии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Бечик С.Е.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5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начальника департамента логистики и МТО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9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9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Захаров А.В.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5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9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Члены комиссии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Гаас О.А.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5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95"/>
              <w:ind w:left="40" w:firstLine="0"/>
              <w:jc w:val="center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Чумак Ю.В.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5"/>
              <w:ind w:left="40"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Подольский В.А.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правовой экспертизы 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9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Батанов П.В.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инженера </w:t>
              <w:br/>
              <w:t xml:space="preserve">по высоковольтным сетям – начальник департамента высоковольтных сетей ПАО «Россети Ленэнерго»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97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9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Сафонов А.М.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0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9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 Э.В.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филиала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ПАО «Россети Ленэнерго» «ЮЭС»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9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9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Секретарь комиссии (без права голоса)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Степанова Т.А.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9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специалист отдела подготовки и проведения конкурсов ПАО «Россети Ленэнерго»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6" w:h="16838" w:orient="portrait"/>
      <w:pgMar w:top="567" w:right="707" w:bottom="709" w:left="992" w:header="284" w:footer="42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Протокол </w:t>
    </w:r>
    <w:r>
      <w:rPr>
        <w:bCs/>
        <w:sz w:val="16"/>
        <w:szCs w:val="16"/>
      </w:rPr>
      <w:t xml:space="preserve">№</w:t>
    </w:r>
    <w:r>
      <w:rPr>
        <w:bCs/>
        <w:sz w:val="16"/>
        <w:szCs w:val="16"/>
      </w:rPr>
      <w:t xml:space="preserve"> 251158-3</w:t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61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страница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PAGE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4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  <w:t xml:space="preserve"> из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NUMPAGES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4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59"/>
    </w:pPr>
    <w:r/>
    <w:r/>
  </w:p>
  <w:p>
    <w:pPr>
      <w:pStyle w:val="959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decimalZero"/>
      <w:isLgl w:val="false"/>
      <w:suff w:val="tab"/>
      <w:lvlText w:val="%1"/>
      <w:lvlJc w:val="left"/>
      <w:pPr>
        <w:ind w:left="1080" w:hanging="1080"/>
      </w:pPr>
    </w:lvl>
    <w:lvl w:ilvl="1">
      <w:start w:val="6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2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8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74" w:hanging="360"/>
      </w:pPr>
      <w:rPr>
        <w:b w:val="0"/>
        <w:sz w:val="21"/>
        <w:szCs w:val="21"/>
      </w:rPr>
    </w:lvl>
    <w:lvl w:ilvl="1">
      <w:start w:val="1"/>
      <w:numFmt w:val="decimal"/>
      <w:isLgl w:val="false"/>
      <w:suff w:val="tab"/>
      <w:lvlText w:val="%1.%2."/>
      <w:lvlJc w:val="left"/>
      <w:pPr>
        <w:ind w:left="1028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643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64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003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003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363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6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23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881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688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4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4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601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601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961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96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321" w:hanging="1800"/>
      </w:pPr>
    </w:lvl>
  </w:abstractNum>
  <w:abstractNum w:abstractNumId="34">
    <w:multiLevelType w:val="hybridMultilevel"/>
    <w:lvl w:ilvl="0">
      <w:start w:val="75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3054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num w:numId="1">
    <w:abstractNumId w:val="7"/>
  </w:num>
  <w:num w:numId="2">
    <w:abstractNumId w:val="37"/>
  </w:num>
  <w:num w:numId="3">
    <w:abstractNumId w:val="33"/>
  </w:num>
  <w:num w:numId="4">
    <w:abstractNumId w:val="30"/>
  </w:num>
  <w:num w:numId="5">
    <w:abstractNumId w:val="18"/>
  </w:num>
  <w:num w:numId="6">
    <w:abstractNumId w:val="24"/>
  </w:num>
  <w:num w:numId="7">
    <w:abstractNumId w:val="0"/>
  </w:num>
  <w:num w:numId="8">
    <w:abstractNumId w:val="10"/>
  </w:num>
  <w:num w:numId="9">
    <w:abstractNumId w:val="13"/>
  </w:num>
  <w:num w:numId="10">
    <w:abstractNumId w:val="20"/>
  </w:num>
  <w:num w:numId="11">
    <w:abstractNumId w:val="9"/>
  </w:num>
  <w:num w:numId="12">
    <w:abstractNumId w:val="28"/>
  </w:num>
  <w:num w:numId="13">
    <w:abstractNumId w:val="2"/>
  </w:num>
  <w:num w:numId="14">
    <w:abstractNumId w:val="3"/>
  </w:num>
  <w:num w:numId="15">
    <w:abstractNumId w:val="19"/>
  </w:num>
  <w:num w:numId="16">
    <w:abstractNumId w:val="27"/>
  </w:num>
  <w:num w:numId="17">
    <w:abstractNumId w:val="15"/>
  </w:num>
  <w:num w:numId="18">
    <w:abstractNumId w:val="31"/>
  </w:num>
  <w:num w:numId="19">
    <w:abstractNumId w:val="36"/>
  </w:num>
  <w:num w:numId="20">
    <w:abstractNumId w:val="22"/>
  </w:num>
  <w:num w:numId="21">
    <w:abstractNumId w:val="12"/>
  </w:num>
  <w:num w:numId="22">
    <w:abstractNumId w:val="16"/>
  </w:num>
  <w:num w:numId="23">
    <w:abstractNumId w:val="17"/>
  </w:num>
  <w:num w:numId="24">
    <w:abstractNumId w:val="35"/>
  </w:num>
  <w:num w:numId="25">
    <w:abstractNumId w:val="26"/>
  </w:num>
  <w:num w:numId="26">
    <w:abstractNumId w:val="5"/>
  </w:num>
  <w:num w:numId="27">
    <w:abstractNumId w:val="29"/>
  </w:num>
  <w:num w:numId="28">
    <w:abstractNumId w:val="21"/>
  </w:num>
  <w:num w:numId="29">
    <w:abstractNumId w:val="32"/>
  </w:num>
  <w:num w:numId="30">
    <w:abstractNumId w:val="11"/>
  </w:num>
  <w:num w:numId="31">
    <w:abstractNumId w:val="4"/>
  </w:num>
  <w:num w:numId="32">
    <w:abstractNumId w:val="6"/>
  </w:num>
  <w:num w:numId="33">
    <w:abstractNumId w:val="34"/>
  </w:num>
  <w:num w:numId="34">
    <w:abstractNumId w:val="23"/>
  </w:num>
  <w:num w:numId="35">
    <w:abstractNumId w:val="8"/>
  </w:num>
  <w:num w:numId="36">
    <w:abstractNumId w:val="14"/>
  </w:num>
  <w:num w:numId="37">
    <w:abstractNumId w:val="1"/>
  </w:num>
  <w:num w:numId="38">
    <w:abstractNumId w:val="25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1">
    <w:name w:val="Heading 1"/>
    <w:basedOn w:val="959"/>
    <w:next w:val="959"/>
    <w:link w:val="7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82">
    <w:name w:val="Heading 1 Char"/>
    <w:link w:val="781"/>
    <w:uiPriority w:val="9"/>
    <w:rPr>
      <w:rFonts w:ascii="Arial" w:hAnsi="Arial" w:eastAsia="Arial" w:cs="Arial"/>
      <w:sz w:val="40"/>
      <w:szCs w:val="40"/>
    </w:rPr>
  </w:style>
  <w:style w:type="paragraph" w:styleId="783">
    <w:name w:val="Heading 2"/>
    <w:basedOn w:val="959"/>
    <w:next w:val="959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84">
    <w:name w:val="Heading 2 Char"/>
    <w:link w:val="783"/>
    <w:uiPriority w:val="9"/>
    <w:rPr>
      <w:rFonts w:ascii="Arial" w:hAnsi="Arial" w:eastAsia="Arial" w:cs="Arial"/>
      <w:sz w:val="34"/>
    </w:rPr>
  </w:style>
  <w:style w:type="paragraph" w:styleId="785">
    <w:name w:val="Heading 3"/>
    <w:basedOn w:val="959"/>
    <w:next w:val="959"/>
    <w:link w:val="7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6">
    <w:name w:val="Heading 3 Char"/>
    <w:link w:val="785"/>
    <w:uiPriority w:val="9"/>
    <w:rPr>
      <w:rFonts w:ascii="Arial" w:hAnsi="Arial" w:eastAsia="Arial" w:cs="Arial"/>
      <w:sz w:val="30"/>
      <w:szCs w:val="30"/>
    </w:rPr>
  </w:style>
  <w:style w:type="paragraph" w:styleId="787">
    <w:name w:val="Heading 4"/>
    <w:basedOn w:val="959"/>
    <w:next w:val="959"/>
    <w:link w:val="7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8">
    <w:name w:val="Heading 4 Char"/>
    <w:link w:val="787"/>
    <w:uiPriority w:val="9"/>
    <w:rPr>
      <w:rFonts w:ascii="Arial" w:hAnsi="Arial" w:eastAsia="Arial" w:cs="Arial"/>
      <w:b/>
      <w:bCs/>
      <w:sz w:val="26"/>
      <w:szCs w:val="26"/>
    </w:rPr>
  </w:style>
  <w:style w:type="paragraph" w:styleId="789">
    <w:name w:val="Heading 5"/>
    <w:basedOn w:val="959"/>
    <w:next w:val="959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0">
    <w:name w:val="Heading 5 Char"/>
    <w:link w:val="789"/>
    <w:uiPriority w:val="9"/>
    <w:rPr>
      <w:rFonts w:ascii="Arial" w:hAnsi="Arial" w:eastAsia="Arial" w:cs="Arial"/>
      <w:b/>
      <w:bCs/>
      <w:sz w:val="24"/>
      <w:szCs w:val="24"/>
    </w:rPr>
  </w:style>
  <w:style w:type="paragraph" w:styleId="791">
    <w:name w:val="Heading 6"/>
    <w:basedOn w:val="959"/>
    <w:next w:val="959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2">
    <w:name w:val="Heading 6 Char"/>
    <w:link w:val="791"/>
    <w:uiPriority w:val="9"/>
    <w:rPr>
      <w:rFonts w:ascii="Arial" w:hAnsi="Arial" w:eastAsia="Arial" w:cs="Arial"/>
      <w:b/>
      <w:bCs/>
      <w:sz w:val="22"/>
      <w:szCs w:val="22"/>
    </w:rPr>
  </w:style>
  <w:style w:type="paragraph" w:styleId="793">
    <w:name w:val="Heading 7"/>
    <w:basedOn w:val="959"/>
    <w:next w:val="959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4">
    <w:name w:val="Heading 7 Char"/>
    <w:link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5">
    <w:name w:val="Heading 8"/>
    <w:basedOn w:val="959"/>
    <w:next w:val="959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6">
    <w:name w:val="Heading 8 Char"/>
    <w:link w:val="795"/>
    <w:uiPriority w:val="9"/>
    <w:rPr>
      <w:rFonts w:ascii="Arial" w:hAnsi="Arial" w:eastAsia="Arial" w:cs="Arial"/>
      <w:i/>
      <w:iCs/>
      <w:sz w:val="22"/>
      <w:szCs w:val="22"/>
    </w:rPr>
  </w:style>
  <w:style w:type="paragraph" w:styleId="797">
    <w:name w:val="Heading 9"/>
    <w:basedOn w:val="959"/>
    <w:next w:val="959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8">
    <w:name w:val="Heading 9 Char"/>
    <w:link w:val="797"/>
    <w:uiPriority w:val="9"/>
    <w:rPr>
      <w:rFonts w:ascii="Arial" w:hAnsi="Arial" w:eastAsia="Arial" w:cs="Arial"/>
      <w:i/>
      <w:iCs/>
      <w:sz w:val="21"/>
      <w:szCs w:val="21"/>
    </w:rPr>
  </w:style>
  <w:style w:type="paragraph" w:styleId="799">
    <w:name w:val="List Paragraph"/>
    <w:basedOn w:val="959"/>
    <w:uiPriority w:val="34"/>
    <w:qFormat/>
    <w:pPr>
      <w:contextualSpacing/>
      <w:ind w:left="720"/>
    </w:pPr>
  </w:style>
  <w:style w:type="paragraph" w:styleId="800">
    <w:name w:val="No Spacing"/>
    <w:uiPriority w:val="1"/>
    <w:qFormat/>
    <w:pPr>
      <w:spacing w:before="0" w:after="0" w:line="240" w:lineRule="auto"/>
    </w:pPr>
  </w:style>
  <w:style w:type="paragraph" w:styleId="801">
    <w:name w:val="Title"/>
    <w:basedOn w:val="959"/>
    <w:next w:val="959"/>
    <w:link w:val="8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2">
    <w:name w:val="Title Char"/>
    <w:link w:val="801"/>
    <w:uiPriority w:val="10"/>
    <w:rPr>
      <w:sz w:val="48"/>
      <w:szCs w:val="48"/>
    </w:rPr>
  </w:style>
  <w:style w:type="paragraph" w:styleId="803">
    <w:name w:val="Subtitle"/>
    <w:basedOn w:val="959"/>
    <w:next w:val="959"/>
    <w:link w:val="804"/>
    <w:uiPriority w:val="11"/>
    <w:qFormat/>
    <w:pPr>
      <w:spacing w:before="200" w:after="200"/>
    </w:pPr>
    <w:rPr>
      <w:sz w:val="24"/>
      <w:szCs w:val="24"/>
    </w:rPr>
  </w:style>
  <w:style w:type="character" w:styleId="804">
    <w:name w:val="Subtitle Char"/>
    <w:link w:val="803"/>
    <w:uiPriority w:val="11"/>
    <w:rPr>
      <w:sz w:val="24"/>
      <w:szCs w:val="24"/>
    </w:rPr>
  </w:style>
  <w:style w:type="paragraph" w:styleId="805">
    <w:name w:val="Quote"/>
    <w:basedOn w:val="959"/>
    <w:next w:val="959"/>
    <w:link w:val="806"/>
    <w:uiPriority w:val="29"/>
    <w:qFormat/>
    <w:pPr>
      <w:ind w:left="720" w:right="720"/>
    </w:pPr>
    <w:rPr>
      <w:i/>
    </w:rPr>
  </w:style>
  <w:style w:type="character" w:styleId="806">
    <w:name w:val="Quote Char"/>
    <w:link w:val="805"/>
    <w:uiPriority w:val="29"/>
    <w:rPr>
      <w:i/>
    </w:rPr>
  </w:style>
  <w:style w:type="paragraph" w:styleId="807">
    <w:name w:val="Intense Quote"/>
    <w:basedOn w:val="959"/>
    <w:next w:val="959"/>
    <w:link w:val="8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8">
    <w:name w:val="Intense Quote Char"/>
    <w:link w:val="807"/>
    <w:uiPriority w:val="30"/>
    <w:rPr>
      <w:i/>
    </w:rPr>
  </w:style>
  <w:style w:type="paragraph" w:styleId="809">
    <w:name w:val="Header"/>
    <w:basedOn w:val="959"/>
    <w:link w:val="8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0">
    <w:name w:val="Header Char"/>
    <w:link w:val="809"/>
    <w:uiPriority w:val="99"/>
  </w:style>
  <w:style w:type="paragraph" w:styleId="811">
    <w:name w:val="Footer"/>
    <w:basedOn w:val="959"/>
    <w:link w:val="8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2">
    <w:name w:val="Footer Char"/>
    <w:link w:val="811"/>
    <w:uiPriority w:val="99"/>
  </w:style>
  <w:style w:type="paragraph" w:styleId="813">
    <w:name w:val="Caption"/>
    <w:basedOn w:val="959"/>
    <w:next w:val="9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4">
    <w:name w:val="Caption Char"/>
    <w:basedOn w:val="813"/>
    <w:link w:val="811"/>
    <w:uiPriority w:val="99"/>
  </w:style>
  <w:style w:type="table" w:styleId="81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1">
    <w:name w:val="Hyperlink"/>
    <w:uiPriority w:val="99"/>
    <w:unhideWhenUsed/>
    <w:rPr>
      <w:color w:val="0000ff" w:themeColor="hyperlink"/>
      <w:u w:val="single"/>
    </w:rPr>
  </w:style>
  <w:style w:type="paragraph" w:styleId="942">
    <w:name w:val="footnote text"/>
    <w:basedOn w:val="959"/>
    <w:link w:val="943"/>
    <w:uiPriority w:val="99"/>
    <w:semiHidden/>
    <w:unhideWhenUsed/>
    <w:pPr>
      <w:spacing w:after="40" w:line="240" w:lineRule="auto"/>
    </w:pPr>
    <w:rPr>
      <w:sz w:val="18"/>
    </w:rPr>
  </w:style>
  <w:style w:type="character" w:styleId="943">
    <w:name w:val="Footnote Text Char"/>
    <w:link w:val="942"/>
    <w:uiPriority w:val="99"/>
    <w:rPr>
      <w:sz w:val="18"/>
    </w:rPr>
  </w:style>
  <w:style w:type="character" w:styleId="944">
    <w:name w:val="footnote reference"/>
    <w:uiPriority w:val="99"/>
    <w:unhideWhenUsed/>
    <w:rPr>
      <w:vertAlign w:val="superscript"/>
    </w:rPr>
  </w:style>
  <w:style w:type="paragraph" w:styleId="945">
    <w:name w:val="endnote text"/>
    <w:basedOn w:val="959"/>
    <w:link w:val="946"/>
    <w:uiPriority w:val="99"/>
    <w:semiHidden/>
    <w:unhideWhenUsed/>
    <w:pPr>
      <w:spacing w:after="0" w:line="240" w:lineRule="auto"/>
    </w:pPr>
    <w:rPr>
      <w:sz w:val="20"/>
    </w:rPr>
  </w:style>
  <w:style w:type="character" w:styleId="946">
    <w:name w:val="Endnote Text Char"/>
    <w:link w:val="945"/>
    <w:uiPriority w:val="99"/>
    <w:rPr>
      <w:sz w:val="20"/>
    </w:rPr>
  </w:style>
  <w:style w:type="character" w:styleId="947">
    <w:name w:val="endnote reference"/>
    <w:uiPriority w:val="99"/>
    <w:semiHidden/>
    <w:unhideWhenUsed/>
    <w:rPr>
      <w:vertAlign w:val="superscript"/>
    </w:rPr>
  </w:style>
  <w:style w:type="paragraph" w:styleId="948">
    <w:name w:val="toc 1"/>
    <w:basedOn w:val="959"/>
    <w:next w:val="959"/>
    <w:uiPriority w:val="39"/>
    <w:unhideWhenUsed/>
    <w:pPr>
      <w:ind w:left="0" w:right="0" w:firstLine="0"/>
      <w:spacing w:after="57"/>
    </w:pPr>
  </w:style>
  <w:style w:type="paragraph" w:styleId="949">
    <w:name w:val="toc 2"/>
    <w:basedOn w:val="959"/>
    <w:next w:val="959"/>
    <w:uiPriority w:val="39"/>
    <w:unhideWhenUsed/>
    <w:pPr>
      <w:ind w:left="283" w:right="0" w:firstLine="0"/>
      <w:spacing w:after="57"/>
    </w:pPr>
  </w:style>
  <w:style w:type="paragraph" w:styleId="950">
    <w:name w:val="toc 3"/>
    <w:basedOn w:val="959"/>
    <w:next w:val="959"/>
    <w:uiPriority w:val="39"/>
    <w:unhideWhenUsed/>
    <w:pPr>
      <w:ind w:left="567" w:right="0" w:firstLine="0"/>
      <w:spacing w:after="57"/>
    </w:pPr>
  </w:style>
  <w:style w:type="paragraph" w:styleId="951">
    <w:name w:val="toc 4"/>
    <w:basedOn w:val="959"/>
    <w:next w:val="959"/>
    <w:uiPriority w:val="39"/>
    <w:unhideWhenUsed/>
    <w:pPr>
      <w:ind w:left="850" w:right="0" w:firstLine="0"/>
      <w:spacing w:after="57"/>
    </w:pPr>
  </w:style>
  <w:style w:type="paragraph" w:styleId="952">
    <w:name w:val="toc 5"/>
    <w:basedOn w:val="959"/>
    <w:next w:val="959"/>
    <w:uiPriority w:val="39"/>
    <w:unhideWhenUsed/>
    <w:pPr>
      <w:ind w:left="1134" w:right="0" w:firstLine="0"/>
      <w:spacing w:after="57"/>
    </w:pPr>
  </w:style>
  <w:style w:type="paragraph" w:styleId="953">
    <w:name w:val="toc 6"/>
    <w:basedOn w:val="959"/>
    <w:next w:val="959"/>
    <w:uiPriority w:val="39"/>
    <w:unhideWhenUsed/>
    <w:pPr>
      <w:ind w:left="1417" w:right="0" w:firstLine="0"/>
      <w:spacing w:after="57"/>
    </w:pPr>
  </w:style>
  <w:style w:type="paragraph" w:styleId="954">
    <w:name w:val="toc 7"/>
    <w:basedOn w:val="959"/>
    <w:next w:val="959"/>
    <w:uiPriority w:val="39"/>
    <w:unhideWhenUsed/>
    <w:pPr>
      <w:ind w:left="1701" w:right="0" w:firstLine="0"/>
      <w:spacing w:after="57"/>
    </w:pPr>
  </w:style>
  <w:style w:type="paragraph" w:styleId="955">
    <w:name w:val="toc 8"/>
    <w:basedOn w:val="959"/>
    <w:next w:val="959"/>
    <w:uiPriority w:val="39"/>
    <w:unhideWhenUsed/>
    <w:pPr>
      <w:ind w:left="1984" w:right="0" w:firstLine="0"/>
      <w:spacing w:after="57"/>
    </w:pPr>
  </w:style>
  <w:style w:type="paragraph" w:styleId="956">
    <w:name w:val="toc 9"/>
    <w:basedOn w:val="959"/>
    <w:next w:val="959"/>
    <w:uiPriority w:val="39"/>
    <w:unhideWhenUsed/>
    <w:pPr>
      <w:ind w:left="2268" w:right="0" w:firstLine="0"/>
      <w:spacing w:after="57"/>
    </w:pPr>
  </w:style>
  <w:style w:type="paragraph" w:styleId="957">
    <w:name w:val="TOC Heading"/>
    <w:uiPriority w:val="39"/>
    <w:unhideWhenUsed/>
  </w:style>
  <w:style w:type="paragraph" w:styleId="958">
    <w:name w:val="table of figures"/>
    <w:basedOn w:val="959"/>
    <w:next w:val="959"/>
    <w:uiPriority w:val="99"/>
    <w:unhideWhenUsed/>
    <w:pPr>
      <w:spacing w:after="0" w:afterAutospacing="0"/>
    </w:pPr>
  </w:style>
  <w:style w:type="paragraph" w:styleId="959" w:default="1">
    <w:name w:val="Normal"/>
    <w:next w:val="959"/>
    <w:link w:val="959"/>
    <w:qFormat/>
    <w:rPr>
      <w:sz w:val="24"/>
      <w:szCs w:val="24"/>
      <w:lang w:val="ru-RU" w:eastAsia="ru-RU" w:bidi="ar-SA"/>
    </w:rPr>
  </w:style>
  <w:style w:type="paragraph" w:styleId="960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59"/>
    <w:next w:val="959"/>
    <w:link w:val="987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961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basedOn w:val="959"/>
    <w:next w:val="959"/>
    <w:link w:val="959"/>
    <w:qFormat/>
    <w:pPr>
      <w:jc w:val="both"/>
      <w:keepNext/>
      <w:outlineLvl w:val="1"/>
    </w:pPr>
    <w:rPr>
      <w:sz w:val="24"/>
    </w:rPr>
  </w:style>
  <w:style w:type="paragraph" w:styleId="962">
    <w:name w:val="Заголовок 3"/>
    <w:basedOn w:val="959"/>
    <w:next w:val="959"/>
    <w:link w:val="1001"/>
    <w:semiHidden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963">
    <w:name w:val="Заголовок 5"/>
    <w:basedOn w:val="959"/>
    <w:next w:val="959"/>
    <w:link w:val="959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64">
    <w:name w:val="Заголовок 9"/>
    <w:basedOn w:val="959"/>
    <w:next w:val="959"/>
    <w:link w:val="1000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65">
    <w:name w:val="Основной шрифт абзаца"/>
    <w:next w:val="965"/>
    <w:link w:val="959"/>
    <w:semiHidden/>
  </w:style>
  <w:style w:type="table" w:styleId="966">
    <w:name w:val="Обычная таблица"/>
    <w:next w:val="966"/>
    <w:link w:val="959"/>
    <w:semiHidden/>
    <w:tblPr/>
  </w:style>
  <w:style w:type="numbering" w:styleId="967">
    <w:name w:val="Нет списка"/>
    <w:next w:val="967"/>
    <w:link w:val="959"/>
    <w:semiHidden/>
  </w:style>
  <w:style w:type="character" w:styleId="968">
    <w:name w:val="Гиперссылка"/>
    <w:next w:val="968"/>
    <w:link w:val="959"/>
    <w:rPr>
      <w:color w:val="0000ff"/>
      <w:u w:val="single"/>
    </w:rPr>
  </w:style>
  <w:style w:type="paragraph" w:styleId="969">
    <w:name w:val="Верхний колонтитул"/>
    <w:basedOn w:val="959"/>
    <w:next w:val="969"/>
    <w:link w:val="980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970">
    <w:name w:val="Нижний колонтитул"/>
    <w:basedOn w:val="959"/>
    <w:next w:val="970"/>
    <w:link w:val="977"/>
    <w:uiPriority w:val="99"/>
    <w:pPr>
      <w:tabs>
        <w:tab w:val="center" w:pos="4677" w:leader="none"/>
        <w:tab w:val="right" w:pos="9355" w:leader="none"/>
      </w:tabs>
    </w:pPr>
  </w:style>
  <w:style w:type="paragraph" w:styleId="971">
    <w:name w:val="Текст выноски"/>
    <w:basedOn w:val="959"/>
    <w:next w:val="971"/>
    <w:link w:val="984"/>
    <w:semiHidden/>
    <w:rPr>
      <w:rFonts w:ascii="Tahoma" w:hAnsi="Tahoma"/>
      <w:sz w:val="16"/>
      <w:szCs w:val="16"/>
      <w:lang w:val="en-US" w:eastAsia="en-US"/>
    </w:rPr>
  </w:style>
  <w:style w:type="paragraph" w:styleId="972">
    <w:name w:val="Основной текст,Основной текст таблиц,в таблице,таблицы,в таблицах, в таблице, в таблицах"/>
    <w:basedOn w:val="959"/>
    <w:next w:val="972"/>
    <w:link w:val="998"/>
    <w:pPr>
      <w:ind w:right="4961"/>
      <w:tabs>
        <w:tab w:val="left" w:pos="4536" w:leader="none"/>
      </w:tabs>
    </w:pPr>
    <w:rPr>
      <w:sz w:val="24"/>
    </w:rPr>
  </w:style>
  <w:style w:type="paragraph" w:styleId="973">
    <w:name w:val="Normal1"/>
    <w:next w:val="973"/>
    <w:link w:val="959"/>
    <w:pPr>
      <w:spacing w:before="100" w:after="100"/>
    </w:pPr>
    <w:rPr>
      <w:sz w:val="24"/>
      <w:lang w:val="ru-RU" w:eastAsia="ru-RU" w:bidi="ar-SA"/>
    </w:rPr>
  </w:style>
  <w:style w:type="paragraph" w:styleId="974">
    <w:name w:val="Нумерованный список"/>
    <w:basedOn w:val="959"/>
    <w:next w:val="974"/>
    <w:link w:val="959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975">
    <w:name w:val="Пункт"/>
    <w:basedOn w:val="959"/>
    <w:next w:val="975"/>
    <w:link w:val="976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76">
    <w:name w:val="Пункт Знак1"/>
    <w:next w:val="976"/>
    <w:link w:val="975"/>
    <w:rPr>
      <w:sz w:val="28"/>
      <w:lang w:val="ru-RU" w:eastAsia="ru-RU" w:bidi="ar-SA"/>
    </w:rPr>
  </w:style>
  <w:style w:type="character" w:styleId="977">
    <w:name w:val="Нижний колонтитул Знак"/>
    <w:next w:val="977"/>
    <w:link w:val="970"/>
    <w:uiPriority w:val="99"/>
    <w:rPr>
      <w:rFonts w:ascii="Times New Roman CYR" w:hAnsi="Times New Roman CYR"/>
      <w:lang w:val="ru-RU" w:eastAsia="ru-RU" w:bidi="ar-SA"/>
    </w:rPr>
  </w:style>
  <w:style w:type="paragraph" w:styleId="978">
    <w:name w:val="Стиль Основной текст с отступом + 12 пт По ширине Слева:  0 см П..."/>
    <w:basedOn w:val="979"/>
    <w:next w:val="978"/>
    <w:link w:val="959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979">
    <w:name w:val="Основной текст с отступом"/>
    <w:basedOn w:val="959"/>
    <w:next w:val="979"/>
    <w:link w:val="991"/>
    <w:pPr>
      <w:ind w:left="283"/>
      <w:spacing w:after="120"/>
    </w:pPr>
    <w:rPr>
      <w:lang w:val="en-US" w:eastAsia="en-US"/>
    </w:rPr>
  </w:style>
  <w:style w:type="character" w:styleId="980">
    <w:name w:val="Верхний колонтитул Знак"/>
    <w:next w:val="980"/>
    <w:link w:val="969"/>
    <w:uiPriority w:val="99"/>
    <w:rPr>
      <w:rFonts w:ascii="Times New Roman CYR" w:hAnsi="Times New Roman CYR"/>
    </w:rPr>
  </w:style>
  <w:style w:type="character" w:styleId="981">
    <w:name w:val="комментарий"/>
    <w:next w:val="981"/>
    <w:link w:val="959"/>
    <w:rPr>
      <w:b/>
      <w:i/>
      <w:shd w:val="clear" w:color="auto" w:fill="ffff99"/>
    </w:rPr>
  </w:style>
  <w:style w:type="paragraph" w:styleId="982">
    <w:name w:val="Название"/>
    <w:basedOn w:val="959"/>
    <w:next w:val="982"/>
    <w:link w:val="983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983">
    <w:name w:val="Название Знак"/>
    <w:next w:val="983"/>
    <w:link w:val="982"/>
    <w:rPr>
      <w:b/>
      <w:sz w:val="22"/>
    </w:rPr>
  </w:style>
  <w:style w:type="character" w:styleId="984">
    <w:name w:val="Текст выноски Знак"/>
    <w:next w:val="984"/>
    <w:link w:val="971"/>
    <w:semiHidden/>
    <w:rPr>
      <w:rFonts w:ascii="Tahoma" w:hAnsi="Tahoma" w:cs="Tahoma"/>
      <w:sz w:val="16"/>
      <w:szCs w:val="16"/>
    </w:rPr>
  </w:style>
  <w:style w:type="paragraph" w:styleId="985">
    <w:name w:val="Обычный2"/>
    <w:next w:val="985"/>
    <w:link w:val="959"/>
    <w:pPr>
      <w:spacing w:before="100" w:after="100"/>
    </w:pPr>
    <w:rPr>
      <w:sz w:val="24"/>
      <w:lang w:val="ru-RU" w:eastAsia="ru-RU" w:bidi="ar-SA"/>
    </w:rPr>
  </w:style>
  <w:style w:type="character" w:styleId="986">
    <w:name w:val="Строгий,0 Текст,0-текст,Заголовок  1"/>
    <w:next w:val="986"/>
    <w:link w:val="959"/>
    <w:uiPriority w:val="22"/>
    <w:qFormat/>
    <w:rPr>
      <w:b/>
      <w:bCs/>
    </w:rPr>
  </w:style>
  <w:style w:type="character" w:styleId="987">
    <w:name w:val="Заголовок 1 Знак"/>
    <w:next w:val="987"/>
    <w:link w:val="960"/>
    <w:rPr>
      <w:rFonts w:ascii="Arial" w:hAnsi="Arial"/>
      <w:b/>
      <w:sz w:val="40"/>
    </w:rPr>
  </w:style>
  <w:style w:type="paragraph" w:styleId="988">
    <w:name w:val="Подпункт"/>
    <w:basedOn w:val="975"/>
    <w:next w:val="988"/>
    <w:link w:val="959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989">
    <w:name w:val="Подподпункт"/>
    <w:basedOn w:val="988"/>
    <w:next w:val="989"/>
    <w:link w:val="990"/>
    <w:pPr>
      <w:ind w:left="1702" w:hanging="567"/>
      <w:tabs>
        <w:tab w:val="clear" w:pos="1276" w:leader="none"/>
        <w:tab w:val="num" w:pos="1702" w:leader="none"/>
      </w:tabs>
    </w:pPr>
  </w:style>
  <w:style w:type="character" w:styleId="990">
    <w:name w:val="Подподпункт Знак"/>
    <w:next w:val="990"/>
    <w:link w:val="989"/>
    <w:rPr>
      <w:sz w:val="28"/>
      <w:lang w:val="en-US" w:eastAsia="en-US"/>
    </w:rPr>
  </w:style>
  <w:style w:type="character" w:styleId="991">
    <w:name w:val="Основной текст с отступом Знак"/>
    <w:next w:val="991"/>
    <w:link w:val="979"/>
    <w:rPr>
      <w:rFonts w:ascii="Times New Roman CYR" w:hAnsi="Times New Roman CYR"/>
    </w:rPr>
  </w:style>
  <w:style w:type="paragraph" w:styleId="992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959"/>
    <w:next w:val="992"/>
    <w:link w:val="1002"/>
    <w:qFormat/>
    <w:pPr>
      <w:contextualSpacing/>
      <w:ind w:left="720"/>
    </w:pPr>
  </w:style>
  <w:style w:type="table" w:styleId="993">
    <w:name w:val="Сетка таблицы"/>
    <w:basedOn w:val="966"/>
    <w:next w:val="993"/>
    <w:link w:val="959"/>
    <w:uiPriority w:val="59"/>
    <w:tblPr/>
  </w:style>
  <w:style w:type="character" w:styleId="994">
    <w:name w:val="Основной текст_"/>
    <w:next w:val="994"/>
    <w:link w:val="995"/>
    <w:rPr>
      <w:sz w:val="18"/>
      <w:szCs w:val="18"/>
      <w:shd w:val="clear" w:color="auto" w:fill="ffffff"/>
    </w:rPr>
  </w:style>
  <w:style w:type="paragraph" w:styleId="995">
    <w:name w:val="Основной текст2"/>
    <w:basedOn w:val="959"/>
    <w:next w:val="995"/>
    <w:link w:val="994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996">
    <w:name w:val="Основной текст с отступом 2"/>
    <w:basedOn w:val="959"/>
    <w:next w:val="996"/>
    <w:link w:val="997"/>
    <w:pPr>
      <w:ind w:left="283"/>
      <w:spacing w:after="120" w:line="480" w:lineRule="auto"/>
    </w:pPr>
  </w:style>
  <w:style w:type="character" w:styleId="997">
    <w:name w:val="Основной текст с отступом 2 Знак"/>
    <w:next w:val="997"/>
    <w:link w:val="996"/>
    <w:rPr>
      <w:rFonts w:ascii="Times New Roman CYR" w:hAnsi="Times New Roman CYR"/>
    </w:rPr>
  </w:style>
  <w:style w:type="character" w:styleId="998">
    <w:name w:val="Основной текст Знак,Основной текст таблиц Знак,в таблице Знак,таблицы Знак,в таблицах Знак, в таблице Знак, в таблицах Знак"/>
    <w:next w:val="998"/>
    <w:link w:val="972"/>
    <w:rPr>
      <w:rFonts w:ascii="Times New Roman CYR" w:hAnsi="Times New Roman CYR"/>
      <w:sz w:val="24"/>
    </w:rPr>
  </w:style>
  <w:style w:type="paragraph" w:styleId="999">
    <w:name w:val="FTN_таб"/>
    <w:basedOn w:val="959"/>
    <w:next w:val="999"/>
    <w:link w:val="959"/>
    <w:pPr>
      <w:jc w:val="both"/>
      <w:widowControl w:val="off"/>
      <w:tabs>
        <w:tab w:val="left" w:pos="709" w:leader="none"/>
      </w:tabs>
    </w:pPr>
    <w:rPr>
      <w:rFonts w:eastAsia="Arial Unicode MS"/>
      <w:sz w:val="22"/>
    </w:rPr>
  </w:style>
  <w:style w:type="character" w:styleId="1000">
    <w:name w:val="Заголовок 9 Знак"/>
    <w:next w:val="1000"/>
    <w:link w:val="964"/>
    <w:rPr>
      <w:sz w:val="24"/>
      <w:szCs w:val="24"/>
    </w:rPr>
  </w:style>
  <w:style w:type="character" w:styleId="1001">
    <w:name w:val="Заголовок 3 Знак"/>
    <w:next w:val="1001"/>
    <w:link w:val="962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1002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1002"/>
    <w:link w:val="992"/>
    <w:uiPriority w:val="34"/>
    <w:qFormat/>
    <w:rPr>
      <w:sz w:val="24"/>
      <w:szCs w:val="24"/>
    </w:rPr>
  </w:style>
  <w:style w:type="character" w:styleId="1003">
    <w:name w:val="otvet_krasn_30"/>
    <w:next w:val="1003"/>
    <w:link w:val="959"/>
  </w:style>
  <w:style w:type="character" w:styleId="1004" w:default="1">
    <w:name w:val="Default Paragraph Font"/>
    <w:uiPriority w:val="1"/>
    <w:semiHidden/>
    <w:unhideWhenUsed/>
  </w:style>
  <w:style w:type="numbering" w:styleId="1005" w:default="1">
    <w:name w:val="No List"/>
    <w:uiPriority w:val="99"/>
    <w:semiHidden/>
    <w:unhideWhenUsed/>
  </w:style>
  <w:style w:type="table" w:styleId="10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creator>Korotkina.OF</dc:creator>
  <cp:revision>1288</cp:revision>
  <dcterms:created xsi:type="dcterms:W3CDTF">2020-07-08T05:59:00Z</dcterms:created>
  <dcterms:modified xsi:type="dcterms:W3CDTF">2025-04-15T09:27:08Z</dcterms:modified>
  <cp:version>1048576</cp:version>
</cp:coreProperties>
</file>